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C8738C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5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6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8738C" w:rsidRPr="00DF3AFE" w:rsidTr="009E2B1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738C" w:rsidRPr="00DF3AFE" w:rsidRDefault="00C8738C" w:rsidP="009E2B13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738C" w:rsidRPr="00DF3AFE" w:rsidTr="009E2B13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C8738C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BB08DB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BB08D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BB08DB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40526D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Сайт: </w:t>
            </w:r>
            <w:proofErr w:type="spell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www.shm</w:t>
            </w:r>
            <w:proofErr w:type="spell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738C" w:rsidRPr="00DF3AFE" w:rsidTr="009E2B1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C" w:rsidRPr="00DF3AFE" w:rsidRDefault="00C8738C" w:rsidP="009E2B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8738C" w:rsidRPr="009F5F2B" w:rsidRDefault="00C8738C" w:rsidP="00C8738C">
      <w:pPr>
        <w:spacing w:after="0"/>
        <w:ind w:left="-1134"/>
        <w:jc w:val="center"/>
        <w:rPr>
          <w:b/>
          <w:sz w:val="24"/>
        </w:rPr>
      </w:pP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</w:rPr>
      </w:pPr>
      <w:r w:rsidRPr="006C7DCC">
        <w:rPr>
          <w:rFonts w:asciiTheme="majorHAnsi" w:hAnsiTheme="majorHAnsi"/>
          <w:b/>
          <w:sz w:val="24"/>
        </w:rPr>
        <w:t>БЛАНК ЗАКАЗА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на изготовление теплообменного аппарата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или трубного пучка (при его самостоятельной поставке)</w:t>
      </w:r>
    </w:p>
    <w:p w:rsidR="006C7DCC" w:rsidRPr="006C7DCC" w:rsidRDefault="006C7DCC" w:rsidP="006C7DCC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</w:rPr>
      </w:pPr>
      <w:r w:rsidRPr="006C7DCC">
        <w:rPr>
          <w:rFonts w:asciiTheme="majorHAnsi" w:hAnsiTheme="majorHAnsi"/>
          <w:sz w:val="24"/>
        </w:rPr>
        <w:t>по типу ТУ 3612</w:t>
      </w:r>
      <w:r w:rsidRPr="006C7DCC">
        <w:rPr>
          <w:rFonts w:asciiTheme="majorHAnsi" w:hAnsiTheme="majorHAnsi"/>
          <w:sz w:val="24"/>
        </w:rPr>
        <w:noBreakHyphen/>
        <w:t>023</w:t>
      </w:r>
      <w:r w:rsidRPr="006C7DCC">
        <w:rPr>
          <w:rFonts w:asciiTheme="majorHAnsi" w:hAnsiTheme="majorHAnsi"/>
          <w:sz w:val="24"/>
        </w:rPr>
        <w:noBreakHyphen/>
        <w:t>00220302</w:t>
      </w:r>
      <w:r w:rsidRPr="006C7DCC">
        <w:rPr>
          <w:rFonts w:asciiTheme="majorHAnsi" w:hAnsiTheme="majorHAnsi"/>
          <w:sz w:val="24"/>
        </w:rPr>
        <w:noBreakHyphen/>
        <w:t>01, ОСТ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2090</w:t>
      </w:r>
      <w:r w:rsidRPr="006C7DCC">
        <w:rPr>
          <w:rFonts w:asciiTheme="majorHAnsi" w:hAnsiTheme="majorHAnsi"/>
          <w:sz w:val="24"/>
        </w:rPr>
        <w:noBreakHyphen/>
        <w:t>88, ТУ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925, ТУ 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1090, ТУ 26</w:t>
      </w:r>
      <w:r w:rsidRPr="006C7DCC">
        <w:rPr>
          <w:rFonts w:asciiTheme="majorHAnsi" w:hAnsiTheme="majorHAnsi"/>
          <w:sz w:val="24"/>
        </w:rPr>
        <w:noBreakHyphen/>
        <w:t>02</w:t>
      </w:r>
      <w:r w:rsidRPr="006C7DCC">
        <w:rPr>
          <w:rFonts w:asciiTheme="majorHAnsi" w:hAnsiTheme="majorHAnsi"/>
          <w:sz w:val="24"/>
        </w:rPr>
        <w:noBreakHyphen/>
        <w:t>1105</w:t>
      </w:r>
    </w:p>
    <w:p w:rsidR="006C7DCC" w:rsidRPr="006C7DCC" w:rsidRDefault="006C7DCC" w:rsidP="006C7DCC">
      <w:pPr>
        <w:pStyle w:val="a4"/>
        <w:spacing w:after="40"/>
        <w:ind w:left="-1276"/>
        <w:contextualSpacing w:val="0"/>
        <w:rPr>
          <w:rFonts w:asciiTheme="majorHAnsi" w:hAnsiTheme="majorHAnsi"/>
          <w:sz w:val="28"/>
        </w:rPr>
      </w:pPr>
      <w:r w:rsidRPr="006C7DCC">
        <w:rPr>
          <w:rFonts w:asciiTheme="majorHAnsi" w:hAnsiTheme="majorHAnsi"/>
          <w:sz w:val="28"/>
        </w:rPr>
        <w:t>Условное обозначение аппарата _____________________________________________________________________________________________</w:t>
      </w:r>
    </w:p>
    <w:tbl>
      <w:tblPr>
        <w:tblW w:w="110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6745"/>
        <w:gridCol w:w="1482"/>
        <w:gridCol w:w="1701"/>
      </w:tblGrid>
      <w:tr w:rsidR="006C7DCC" w:rsidRPr="006C7DCC" w:rsidTr="00826FC6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Расчетные и рабочие условия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Параметры среды:</w:t>
            </w:r>
          </w:p>
        </w:tc>
        <w:tc>
          <w:tcPr>
            <w:tcW w:w="1482" w:type="dxa"/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777" w:firstLine="777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 трубах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 кожухе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6C7DCC" w:rsidRPr="001103FF" w:rsidRDefault="006C7DCC" w:rsidP="006C7DCC">
            <w:pPr>
              <w:pStyle w:val="a4"/>
              <w:spacing w:after="40"/>
              <w:ind w:left="34" w:righ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 w:rsidRPr="001103FF">
              <w:rPr>
                <w:rFonts w:asciiTheme="majorHAnsi" w:hAnsiTheme="majorHAnsi"/>
                <w:sz w:val="24"/>
              </w:rPr>
              <w:t>1.1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Давление, МПа: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Р</w:t>
            </w:r>
            <w:r w:rsidRPr="001103FF">
              <w:rPr>
                <w:rFonts w:asciiTheme="majorHAnsi" w:hAnsiTheme="majorHAnsi"/>
                <w:sz w:val="24"/>
                <w:vertAlign w:val="subscript"/>
              </w:rPr>
              <w:t>рабочее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8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Р</w:t>
            </w:r>
            <w:r w:rsidRPr="001103FF">
              <w:rPr>
                <w:rFonts w:asciiTheme="majorHAnsi" w:hAnsiTheme="majorHAnsi"/>
                <w:sz w:val="24"/>
                <w:vertAlign w:val="subscript"/>
              </w:rPr>
              <w:t>расчетное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1.2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Температура рабочая,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 входе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 выходе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1.3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Температура расчетная,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1.4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Средняя температура кожуха и труб,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 xml:space="preserve"> (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по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 xml:space="preserve"> результатам теплового расчета)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(заполняется для аппаратов с неподвижными трубными решетками и компенсатором на кожухе)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39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1.5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Температура кипения рабочей среды при давлении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0,07 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trHeight w:val="1141"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1.6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Наименование рабочей среды и процентный состав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1.7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Физическое состояние среды (газ, пар, жидкость)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 w:val="restar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1.8</w:t>
            </w:r>
          </w:p>
        </w:tc>
        <w:tc>
          <w:tcPr>
            <w:tcW w:w="6745" w:type="dxa"/>
            <w:tcBorders>
              <w:left w:val="nil"/>
              <w:bottom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Характеристики рабочей среды: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вредность по ГОСТ 12.1.007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(с указанием класса опасности)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воспламеняемость по ГОСТ 12.1.004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0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взрывоопасность по ГОСТ 12.1.011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(с указанием категории и группы смеси)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7DCC" w:rsidRPr="006C7DCC" w:rsidRDefault="00D52F44" w:rsidP="00D52F44">
            <w:pPr>
              <w:pStyle w:val="a4"/>
              <w:spacing w:after="40"/>
              <w:ind w:left="-108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vMerge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вызывает ли коррозионное растрескивание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«нет», если да, провести испытания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1.9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Минимально допустимая (отрицательная) температура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стенки аппарата, находящегося под давлением,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1.10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Средняя температура воздуха наиболее холодной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пятидневки района установки аппарата, </w:t>
            </w:r>
            <w:r w:rsidRPr="006C7DCC">
              <w:rPr>
                <w:rFonts w:asciiTheme="majorHAnsi" w:hAnsiTheme="majorHAnsi"/>
                <w:sz w:val="24"/>
              </w:rPr>
              <w:sym w:font="Symbol" w:char="F0B0"/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С</w:t>
            </w:r>
            <w:proofErr w:type="gramEnd"/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(заполняется для аппаратов, устанавливаемых на открытой площадке или в неотапливаемом помещении)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1.11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Сейсмичность района установки аппарата по 12</w:t>
            </w:r>
            <w:r w:rsidRPr="006C7DCC">
              <w:rPr>
                <w:rFonts w:asciiTheme="majorHAnsi" w:hAnsiTheme="majorHAnsi"/>
                <w:sz w:val="24"/>
              </w:rPr>
              <w:noBreakHyphen/>
              <w:t>балльной шкале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7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Материал прокладок</w:t>
            </w:r>
          </w:p>
        </w:tc>
        <w:tc>
          <w:tcPr>
            <w:tcW w:w="1482" w:type="dxa"/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8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1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Скорость коррозии, 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мм</w:t>
            </w:r>
            <w:proofErr w:type="gramEnd"/>
            <w:r w:rsidRPr="006C7DCC">
              <w:rPr>
                <w:rFonts w:asciiTheme="majorHAnsi" w:hAnsiTheme="majorHAnsi"/>
                <w:sz w:val="24"/>
              </w:rPr>
              <w:t>/год, не более</w:t>
            </w:r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19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2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Прибавка на коррозию, </w:t>
            </w:r>
            <w:proofErr w:type="gramStart"/>
            <w:r w:rsidRPr="006C7DCC">
              <w:rPr>
                <w:rFonts w:asciiTheme="majorHAnsi" w:hAnsiTheme="majorHAnsi"/>
                <w:sz w:val="24"/>
              </w:rPr>
              <w:t>мм</w:t>
            </w:r>
            <w:proofErr w:type="gramEnd"/>
          </w:p>
        </w:tc>
        <w:tc>
          <w:tcPr>
            <w:tcW w:w="1482" w:type="dxa"/>
            <w:tcBorders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0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4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3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Срок службы, лет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4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6745" w:type="dxa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Число циклов нагружения за весь срок службы, не более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5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Необходимость установки деталей для крепления теплоизоляции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 (ненужное зачеркнуть)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 xml:space="preserve">(детали устанавливаются на аппараты с диаметром кожуха </w:t>
            </w:r>
            <w:r w:rsidRPr="006C7DCC">
              <w:rPr>
                <w:rFonts w:asciiTheme="majorHAnsi" w:hAnsiTheme="majorHAnsi"/>
                <w:sz w:val="24"/>
              </w:rPr>
              <w:sym w:font="Symbol" w:char="F0B3"/>
            </w:r>
            <w:r w:rsidRPr="006C7DCC">
              <w:rPr>
                <w:rFonts w:asciiTheme="majorHAnsi" w:hAnsiTheme="majorHAnsi"/>
                <w:sz w:val="24"/>
              </w:rPr>
              <w:t> 500 мм)</w:t>
            </w:r>
          </w:p>
        </w:tc>
      </w:tr>
      <w:tr w:rsidR="006C7DCC" w:rsidRPr="006C7DCC" w:rsidTr="00D52F44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</w:p>
        </w:tc>
        <w:tc>
          <w:tcPr>
            <w:tcW w:w="6745" w:type="dxa"/>
            <w:tcBorders>
              <w:left w:val="nil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Необходимость проведения испытаний на межкристаллитную коррозию основного металла и сварных соединений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«да», «нет», если да – указать метод по ГОСТ 6032</w:t>
            </w:r>
          </w:p>
          <w:p w:rsidR="006C7DCC" w:rsidRPr="006C7DCC" w:rsidRDefault="006C7DCC" w:rsidP="006C7DCC">
            <w:pPr>
              <w:pStyle w:val="a4"/>
              <w:spacing w:after="40"/>
              <w:ind w:left="-103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(заполняют для аппаратов, в которых применена сталь 08Х18Н10Т, 12Х18Н10Т,10Х17Н13М3Т, 08Х22Н6Т)</w:t>
            </w:r>
          </w:p>
        </w:tc>
        <w:tc>
          <w:tcPr>
            <w:tcW w:w="3183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24"/>
              </w:rPr>
              <w:id w:val="14812426"/>
              <w:placeholder>
                <w:docPart w:val="DefaultPlaceholder_22675703"/>
              </w:placeholder>
              <w:text/>
            </w:sdtPr>
            <w:sdtContent>
              <w:p w:rsidR="006C7DCC" w:rsidRPr="006C7DCC" w:rsidRDefault="00D52F44" w:rsidP="00D52F44">
                <w:pPr>
                  <w:pStyle w:val="a4"/>
                  <w:spacing w:after="40"/>
                  <w:ind w:left="-108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___</w:t>
                </w:r>
              </w:p>
            </w:sdtContent>
          </w:sdt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Указать шарниры «правые», «левые», «не требуются»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6C7DCC">
              <w:rPr>
                <w:rFonts w:asciiTheme="majorHAnsi" w:hAnsiTheme="majorHAnsi"/>
                <w:sz w:val="24"/>
              </w:rPr>
              <w:t>(шарнирные устройства устанавливаются на горизонтальных аппаратах:</w:t>
            </w:r>
            <w:proofErr w:type="gramEnd"/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 плавающей головкой и U</w:t>
            </w:r>
            <w:r w:rsidRPr="006C7DCC">
              <w:rPr>
                <w:rFonts w:asciiTheme="majorHAnsi" w:hAnsiTheme="majorHAnsi"/>
                <w:sz w:val="24"/>
              </w:rPr>
              <w:noBreakHyphen/>
              <w:t xml:space="preserve">образными трубами – 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> 400–800 мм на Ру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 xml:space="preserve"> 6,3 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> 900–1200 мм на Ру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 xml:space="preserve"> 4,0 МПа, 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> 900–1200 мм на Ру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> 2,5 МПа;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с неподвижными решетками и компенсатором на кожухе – </w:t>
            </w:r>
            <w:r w:rsidRPr="006C7DCC">
              <w:rPr>
                <w:rFonts w:asciiTheme="majorHAnsi" w:hAnsiTheme="majorHAnsi"/>
                <w:sz w:val="24"/>
              </w:rPr>
              <w:sym w:font="Symbol" w:char="F0C6"/>
            </w:r>
            <w:r w:rsidRPr="006C7DCC">
              <w:rPr>
                <w:rFonts w:asciiTheme="majorHAnsi" w:hAnsiTheme="majorHAnsi"/>
                <w:sz w:val="24"/>
              </w:rPr>
              <w:t> 400–1400 на Ру </w:t>
            </w:r>
            <w:r w:rsidRPr="006C7DCC">
              <w:rPr>
                <w:rFonts w:asciiTheme="majorHAnsi" w:hAnsiTheme="majorHAnsi"/>
                <w:sz w:val="24"/>
              </w:rPr>
              <w:sym w:font="Symbol" w:char="F0A3"/>
            </w:r>
            <w:r w:rsidRPr="006C7DCC">
              <w:rPr>
                <w:rFonts w:asciiTheme="majorHAnsi" w:hAnsiTheme="majorHAnsi"/>
                <w:sz w:val="24"/>
              </w:rPr>
              <w:t> 4,0 МПа)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Горизонтальные теплообменные аппараты устанавливаются: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«на бетонном основании», «на металлоконструкции»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Указать тип крепления труб в трубных решетках: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«развальцовка», «обварка с развальцовкой»</w:t>
            </w:r>
          </w:p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(ненужное зачеркнуть)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12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C7DCC" w:rsidRPr="006C7DCC" w:rsidRDefault="006C7DCC" w:rsidP="006C7DCC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sz w:val="24"/>
              </w:rPr>
            </w:pPr>
            <w:r w:rsidRPr="006C7DCC">
              <w:rPr>
                <w:rFonts w:asciiTheme="majorHAnsi" w:hAnsiTheme="majorHAnsi"/>
                <w:sz w:val="24"/>
              </w:rPr>
              <w:t>Трубы бесшовные «да», «нет» (ненужное зачеркнуть)</w:t>
            </w:r>
          </w:p>
        </w:tc>
      </w:tr>
      <w:tr w:rsidR="006C7DCC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6C7DCC" w:rsidRDefault="006C7DCC" w:rsidP="00826FC6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1</w:t>
            </w:r>
            <w:r w:rsidR="00826FC6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sz w:val="24"/>
              </w:rPr>
              <w:t>Схема аппарата с привязочными размерами штуцеров и опор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826FC6">
              <w:rPr>
                <w:rFonts w:asciiTheme="majorHAnsi" w:hAnsiTheme="majorHAnsi"/>
                <w:sz w:val="24"/>
              </w:rPr>
              <w:t xml:space="preserve">(приводят для аппаратов, в которых имеются отличия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от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соответствующих ОСТ и ТУ на аппарат)</w:t>
            </w:r>
          </w:p>
          <w:sdt>
            <w:sdtPr>
              <w:rPr>
                <w:rFonts w:asciiTheme="majorHAnsi" w:hAnsiTheme="majorHAnsi"/>
                <w:sz w:val="24"/>
              </w:rPr>
              <w:id w:val="14812427"/>
              <w:placeholder>
                <w:docPart w:val="DefaultPlaceholder_22675703"/>
              </w:placeholder>
              <w:text w:multiLine="1"/>
            </w:sdtPr>
            <w:sdtContent>
              <w:p w:rsidR="00826FC6" w:rsidRDefault="00D52F44" w:rsidP="00826FC6">
                <w:pPr>
                  <w:pStyle w:val="a4"/>
                  <w:spacing w:after="40"/>
                  <w:ind w:left="0" w:hanging="108"/>
                  <w:contextualSpacing w:val="0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br/>
                </w:r>
                <w:r w:rsidR="008A5E29">
                  <w:rPr>
                    <w:rFonts w:asciiTheme="majorHAnsi" w:hAnsiTheme="majorHAnsi"/>
                    <w:sz w:val="24"/>
                  </w:rPr>
                  <w:t xml:space="preserve"> </w:t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  <w:r>
                  <w:rPr>
                    <w:rFonts w:asciiTheme="majorHAnsi" w:hAnsiTheme="majorHAnsi"/>
                    <w:sz w:val="24"/>
                  </w:rPr>
                  <w:br/>
                </w:r>
              </w:p>
            </w:sdtContent>
          </w:sdt>
          <w:p w:rsid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Pr="00826FC6" w:rsidRDefault="00826FC6" w:rsidP="00826FC6">
            <w:pPr>
              <w:pStyle w:val="a4"/>
              <w:spacing w:after="40"/>
              <w:ind w:left="0" w:hanging="108"/>
              <w:contextualSpacing w:val="0"/>
              <w:rPr>
                <w:rFonts w:asciiTheme="majorHAnsi" w:hAnsiTheme="majorHAnsi"/>
                <w:sz w:val="24"/>
              </w:rPr>
            </w:pPr>
          </w:p>
          <w:p w:rsidR="00826FC6" w:rsidRPr="00826FC6" w:rsidRDefault="00826FC6" w:rsidP="00826FC6">
            <w:pPr>
              <w:pStyle w:val="a4"/>
              <w:spacing w:after="40"/>
              <w:ind w:left="-108"/>
              <w:contextualSpacing w:val="0"/>
              <w:rPr>
                <w:rFonts w:asciiTheme="majorHAnsi" w:hAnsiTheme="majorHAnsi"/>
                <w:b/>
                <w:sz w:val="28"/>
              </w:rPr>
            </w:pPr>
            <w:r w:rsidRPr="00826FC6">
              <w:rPr>
                <w:rFonts w:asciiTheme="majorHAnsi" w:hAnsiTheme="majorHAnsi"/>
                <w:b/>
                <w:sz w:val="28"/>
              </w:rPr>
              <w:t>ШТУЦЕРЫ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29"/>
              <w:gridCol w:w="3370"/>
              <w:gridCol w:w="1813"/>
              <w:gridCol w:w="1790"/>
            </w:tblGrid>
            <w:tr w:rsidR="00826FC6" w:rsidRPr="006C7DCC" w:rsidTr="00826FC6">
              <w:trPr>
                <w:trHeight w:val="675"/>
              </w:trPr>
              <w:tc>
                <w:tcPr>
                  <w:tcW w:w="2729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34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Номер штуцера по схеме</w:t>
                  </w:r>
                </w:p>
              </w:tc>
              <w:tc>
                <w:tcPr>
                  <w:tcW w:w="3370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-777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Назначение штуцеров</w:t>
                  </w:r>
                </w:p>
              </w:tc>
              <w:tc>
                <w:tcPr>
                  <w:tcW w:w="1813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0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 xml:space="preserve">Условный диаметр штуцеров, </w:t>
                  </w:r>
                  <w:proofErr w:type="gramStart"/>
                  <w:r w:rsidRPr="00826FC6">
                    <w:rPr>
                      <w:rFonts w:asciiTheme="majorHAnsi" w:hAnsiTheme="majorHAnsi"/>
                    </w:rPr>
                    <w:t>мм</w:t>
                  </w:r>
                  <w:proofErr w:type="gramEnd"/>
                </w:p>
              </w:tc>
              <w:tc>
                <w:tcPr>
                  <w:tcW w:w="1790" w:type="dxa"/>
                  <w:vAlign w:val="center"/>
                </w:tcPr>
                <w:p w:rsidR="00826FC6" w:rsidRPr="00826FC6" w:rsidRDefault="00826FC6" w:rsidP="00471943">
                  <w:pPr>
                    <w:pStyle w:val="a4"/>
                    <w:spacing w:after="40"/>
                    <w:ind w:left="0"/>
                    <w:contextualSpacing w:val="0"/>
                    <w:jc w:val="center"/>
                    <w:rPr>
                      <w:rFonts w:asciiTheme="majorHAnsi" w:hAnsiTheme="majorHAnsi"/>
                    </w:rPr>
                  </w:pPr>
                  <w:r w:rsidRPr="00826FC6">
                    <w:rPr>
                      <w:rFonts w:asciiTheme="majorHAnsi" w:hAnsiTheme="majorHAnsi"/>
                    </w:rPr>
                    <w:t>Условное давление, МПа</w:t>
                  </w:r>
                </w:p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4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9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6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0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5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0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60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7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6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1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45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8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7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2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  <w:tr w:rsidR="00D52F44" w:rsidRPr="006C7DCC" w:rsidTr="00D52F44">
              <w:trPr>
                <w:trHeight w:val="396"/>
              </w:trPr>
              <w:tc>
                <w:tcPr>
                  <w:tcW w:w="2729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49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337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3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813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58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  <w:tc>
                <w:tcPr>
                  <w:tcW w:w="1790" w:type="dxa"/>
                  <w:vAlign w:val="center"/>
                </w:tcPr>
                <w:sdt>
                  <w:sdtPr>
                    <w:rPr>
                      <w:rFonts w:asciiTheme="majorHAnsi" w:hAnsiTheme="majorHAnsi"/>
                      <w:sz w:val="24"/>
                    </w:rPr>
                    <w:id w:val="14812463"/>
                    <w:placeholder>
                      <w:docPart w:val="DefaultPlaceholder_22675703"/>
                    </w:placeholder>
                    <w:text/>
                  </w:sdtPr>
                  <w:sdtContent>
                    <w:p w:rsidR="00D52F44" w:rsidRDefault="00D52F44" w:rsidP="00D52F44">
                      <w:pPr>
                        <w:jc w:val="center"/>
                      </w:pPr>
                      <w:r w:rsidRPr="008E1910">
                        <w:rPr>
                          <w:rFonts w:asciiTheme="majorHAnsi" w:hAnsiTheme="majorHAnsi"/>
                          <w:sz w:val="24"/>
                        </w:rPr>
                        <w:t>___</w:t>
                      </w:r>
                    </w:p>
                  </w:sdtContent>
                </w:sdt>
              </w:tc>
            </w:tr>
          </w:tbl>
          <w:p w:rsidR="00826FC6" w:rsidRPr="006C7DCC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8"/>
              </w:rPr>
            </w:pPr>
            <w:r w:rsidRPr="006C7DCC">
              <w:rPr>
                <w:rFonts w:asciiTheme="majorHAnsi" w:hAnsiTheme="majorHAnsi"/>
                <w:sz w:val="28"/>
              </w:rPr>
              <w:t>Примечания.</w:t>
            </w:r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1.</w:t>
            </w:r>
            <w:r w:rsidRPr="00826FC6">
              <w:rPr>
                <w:rFonts w:asciiTheme="majorHAnsi" w:hAnsiTheme="majorHAnsi"/>
                <w:sz w:val="24"/>
              </w:rPr>
              <w:t xml:space="preserve"> Схему аппарата приводят в том виде, в котором она приведена в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соответствующих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ОСТ и ТУ на аппарат.</w:t>
            </w:r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2.</w:t>
            </w:r>
            <w:r w:rsidRPr="00826FC6">
              <w:rPr>
                <w:rFonts w:asciiTheme="majorHAnsi" w:hAnsiTheme="majorHAnsi"/>
                <w:sz w:val="24"/>
              </w:rPr>
              <w:t> 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Размеры указывают в том случае, когда они отличаются от размеров, приведенных в соответствующих ОСТ и ТУ на аппарат.</w:t>
            </w:r>
            <w:proofErr w:type="gramEnd"/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r w:rsidRPr="00826FC6">
              <w:rPr>
                <w:rFonts w:asciiTheme="majorHAnsi" w:hAnsiTheme="majorHAnsi"/>
                <w:b/>
                <w:sz w:val="24"/>
              </w:rPr>
              <w:t>3.</w:t>
            </w:r>
            <w:r w:rsidRPr="00826FC6">
              <w:rPr>
                <w:rFonts w:asciiTheme="majorHAnsi" w:hAnsiTheme="majorHAnsi"/>
                <w:sz w:val="24"/>
              </w:rPr>
              <w:t xml:space="preserve"> Условные диаметры штуцеров указывают в том случае, если они отличаются </w:t>
            </w:r>
            <w:proofErr w:type="gramStart"/>
            <w:r w:rsidRPr="00826FC6">
              <w:rPr>
                <w:rFonts w:asciiTheme="majorHAnsi" w:hAnsiTheme="majorHAnsi"/>
                <w:sz w:val="24"/>
              </w:rPr>
              <w:t>от</w:t>
            </w:r>
            <w:proofErr w:type="gramEnd"/>
            <w:r w:rsidRPr="00826FC6">
              <w:rPr>
                <w:rFonts w:asciiTheme="majorHAnsi" w:hAnsiTheme="majorHAnsi"/>
                <w:sz w:val="24"/>
              </w:rPr>
              <w:t xml:space="preserve"> указанных в соответствующих ОСТ и ТУ на аппарат.</w:t>
            </w:r>
          </w:p>
        </w:tc>
      </w:tr>
      <w:tr w:rsidR="00826FC6" w:rsidRPr="006C7DCC" w:rsidTr="00826FC6">
        <w:trPr>
          <w:cantSplit/>
        </w:trPr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34"/>
              <w:contextualSpacing w:val="0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14</w:t>
            </w:r>
          </w:p>
        </w:tc>
        <w:tc>
          <w:tcPr>
            <w:tcW w:w="99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  <w:proofErr w:type="gramStart"/>
            <w:r w:rsidRPr="00826FC6">
              <w:rPr>
                <w:rFonts w:asciiTheme="majorHAnsi" w:hAnsiTheme="majorHAnsi"/>
                <w:sz w:val="24"/>
              </w:rPr>
              <w:t>Содержание принятых отличий от прототипа теплообменного аппарата (допускаются отличия, перечисленные в соответствующих ОСТ и ТУ на аппарат)</w:t>
            </w:r>
            <w:r w:rsidR="00D52F44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4812464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Theme="majorHAnsi" w:hAnsiTheme="majorHAnsi"/>
                    <w:sz w:val="24"/>
                  </w:rPr>
                  <w:t>________________________</w:t>
                </w:r>
              </w:sdtContent>
            </w:sdt>
            <w:proofErr w:type="gramEnd"/>
          </w:p>
          <w:p w:rsidR="00826FC6" w:rsidRPr="00826FC6" w:rsidRDefault="00826FC6" w:rsidP="00826FC6">
            <w:pPr>
              <w:pStyle w:val="a4"/>
              <w:spacing w:after="40"/>
              <w:ind w:left="0"/>
              <w:contextualSpacing w:val="0"/>
              <w:rPr>
                <w:rFonts w:asciiTheme="majorHAnsi" w:hAnsiTheme="majorHAnsi"/>
                <w:sz w:val="24"/>
              </w:rPr>
            </w:pPr>
          </w:p>
        </w:tc>
      </w:tr>
    </w:tbl>
    <w:p w:rsidR="006C7DCC" w:rsidRPr="006C7DCC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FF412B" w:rsidRDefault="00FF412B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D52F44" w:rsidRDefault="00D52F44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</w:p>
    <w:p w:rsidR="00826FC6" w:rsidRPr="003408DF" w:rsidRDefault="00826FC6" w:rsidP="00826FC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b/>
          <w:sz w:val="24"/>
          <w:szCs w:val="24"/>
        </w:rPr>
      </w:pPr>
      <w:r w:rsidRPr="003408DF">
        <w:rPr>
          <w:rFonts w:asciiTheme="majorHAnsi" w:hAnsiTheme="majorHAnsi"/>
          <w:b/>
          <w:sz w:val="24"/>
          <w:szCs w:val="24"/>
        </w:rPr>
        <w:lastRenderedPageBreak/>
        <w:t>Бланк заказа на изготовление теплообменного аппарата не подлежит согласованию.</w:t>
      </w:r>
    </w:p>
    <w:p w:rsidR="006C7DCC" w:rsidRDefault="006C7DCC" w:rsidP="003408DF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предприятия-потребителя и технологической установки или линии</w:t>
      </w:r>
    </w:p>
    <w:sdt>
      <w:sdtPr>
        <w:rPr>
          <w:rFonts w:asciiTheme="majorHAnsi" w:hAnsiTheme="majorHAnsi"/>
          <w:sz w:val="24"/>
          <w:szCs w:val="24"/>
        </w:rPr>
        <w:id w:val="14812465"/>
        <w:placeholder>
          <w:docPart w:val="DefaultPlaceholder_22675703"/>
        </w:placeholder>
        <w:text/>
      </w:sdtPr>
      <w:sdtContent>
        <w:p w:rsidR="003408DF" w:rsidRDefault="003408DF" w:rsidP="003408DF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________________________________________________________________________________________________________________</w:t>
          </w:r>
        </w:p>
      </w:sdtContent>
    </w:sdt>
    <w:p w:rsidR="003408DF" w:rsidRPr="003408DF" w:rsidRDefault="003408DF" w:rsidP="003408D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Наименование и почтовый адрес организации, заполнившей опросный лист</w:t>
      </w:r>
    </w:p>
    <w:sdt>
      <w:sdtPr>
        <w:rPr>
          <w:rFonts w:asciiTheme="majorHAnsi" w:hAnsiTheme="majorHAnsi"/>
          <w:sz w:val="24"/>
          <w:szCs w:val="24"/>
        </w:rPr>
        <w:id w:val="14812466"/>
        <w:placeholder>
          <w:docPart w:val="DefaultPlaceholder_22675703"/>
        </w:placeholder>
        <w:text/>
      </w:sdtPr>
      <w:sdtContent>
        <w:p w:rsidR="003408DF" w:rsidRDefault="003408DF" w:rsidP="003408DF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________________________________________________________________________________________________________________</w:t>
          </w:r>
        </w:p>
      </w:sdtContent>
    </w:sdt>
    <w:p w:rsidR="003408DF" w:rsidRPr="003408DF" w:rsidRDefault="003408DF" w:rsidP="003408DF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Подпись руководителя организации, заполнившей опросный лист.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Pr="003408DF" w:rsidRDefault="003D4C82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4812467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__________________</w:t>
          </w:r>
        </w:sdtContent>
      </w:sdt>
      <w:r w:rsidR="006C7DCC" w:rsidRPr="003408DF">
        <w:rPr>
          <w:rFonts w:asciiTheme="majorHAnsi" w:hAnsiTheme="majorHAnsi"/>
          <w:sz w:val="24"/>
          <w:szCs w:val="24"/>
        </w:rPr>
        <w:tab/>
      </w:r>
      <w:r w:rsidR="006C7DCC" w:rsidRPr="003408DF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4812468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___________________</w:t>
          </w:r>
          <w:r w:rsidR="003408DF">
            <w:rPr>
              <w:rFonts w:asciiTheme="majorHAnsi" w:hAnsiTheme="majorHAnsi"/>
              <w:sz w:val="24"/>
              <w:szCs w:val="24"/>
            </w:rPr>
            <w:t>______</w:t>
          </w:r>
        </w:sdtContent>
      </w:sdt>
      <w:r w:rsidR="006C7DCC" w:rsidRPr="003408DF">
        <w:rPr>
          <w:rFonts w:asciiTheme="majorHAnsi" w:hAnsiTheme="majorHAnsi"/>
          <w:sz w:val="24"/>
          <w:szCs w:val="24"/>
        </w:rPr>
        <w:tab/>
      </w:r>
      <w:sdt>
        <w:sdtPr>
          <w:rPr>
            <w:rFonts w:asciiTheme="majorHAnsi" w:hAnsiTheme="majorHAnsi"/>
            <w:sz w:val="24"/>
            <w:szCs w:val="24"/>
          </w:rPr>
          <w:id w:val="14812469"/>
          <w:placeholder>
            <w:docPart w:val="DefaultPlaceholder_22675703"/>
          </w:placeholder>
          <w:text/>
        </w:sdtPr>
        <w:sdtContent>
          <w:r w:rsidR="006C7DCC" w:rsidRPr="003408DF">
            <w:rPr>
              <w:rFonts w:asciiTheme="majorHAnsi" w:hAnsiTheme="majorHAnsi"/>
              <w:sz w:val="24"/>
              <w:szCs w:val="24"/>
            </w:rPr>
            <w:t>_____________</w:t>
          </w:r>
          <w:r w:rsidR="003408DF">
            <w:rPr>
              <w:rFonts w:asciiTheme="majorHAnsi" w:hAnsiTheme="majorHAnsi"/>
              <w:sz w:val="24"/>
              <w:szCs w:val="24"/>
            </w:rPr>
            <w:t>_____________________________</w:t>
          </w:r>
        </w:sdtContent>
      </w:sdt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(должность)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(личная подпись)</w:t>
      </w:r>
      <w:r w:rsidRPr="003408DF">
        <w:rPr>
          <w:rFonts w:asciiTheme="majorHAnsi" w:hAnsiTheme="majorHAnsi"/>
          <w:sz w:val="24"/>
          <w:szCs w:val="24"/>
        </w:rPr>
        <w:tab/>
      </w:r>
      <w:r w:rsidRPr="003408DF">
        <w:rPr>
          <w:rFonts w:asciiTheme="majorHAnsi" w:hAnsiTheme="majorHAnsi"/>
          <w:sz w:val="24"/>
          <w:szCs w:val="24"/>
        </w:rPr>
        <w:tab/>
        <w:t>       (расшифровка подписи)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id w:val="14812470"/>
        <w:placeholder>
          <w:docPart w:val="DefaultPlaceholder_22675703"/>
        </w:placeholder>
        <w:text/>
      </w:sdtPr>
      <w:sdtContent>
        <w:p w:rsidR="006C7DCC" w:rsidRPr="003408DF" w:rsidRDefault="006C7DCC" w:rsidP="006C7DCC">
          <w:pPr>
            <w:pStyle w:val="a4"/>
            <w:spacing w:after="40"/>
            <w:ind w:left="-777"/>
            <w:contextualSpacing w:val="0"/>
            <w:rPr>
              <w:rFonts w:asciiTheme="majorHAnsi" w:hAnsiTheme="majorHAnsi"/>
              <w:sz w:val="24"/>
              <w:szCs w:val="24"/>
            </w:rPr>
          </w:pPr>
          <w:r w:rsidRPr="003408DF">
            <w:rPr>
              <w:rFonts w:asciiTheme="majorHAnsi" w:hAnsiTheme="majorHAnsi"/>
              <w:sz w:val="24"/>
              <w:szCs w:val="24"/>
            </w:rPr>
            <w:t>________________</w:t>
          </w:r>
        </w:p>
      </w:sdtContent>
    </w:sdt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  <w:r w:rsidRPr="003408DF">
        <w:rPr>
          <w:rFonts w:asciiTheme="majorHAnsi" w:hAnsiTheme="majorHAnsi"/>
          <w:sz w:val="24"/>
          <w:szCs w:val="24"/>
        </w:rPr>
        <w:t>(дата)</w:t>
      </w:r>
    </w:p>
    <w:p w:rsidR="006C7DCC" w:rsidRPr="003408DF" w:rsidRDefault="006C7DCC" w:rsidP="006C7DCC">
      <w:pPr>
        <w:pStyle w:val="a4"/>
        <w:spacing w:after="40"/>
        <w:ind w:left="-777"/>
        <w:contextualSpacing w:val="0"/>
        <w:rPr>
          <w:rFonts w:asciiTheme="majorHAnsi" w:hAnsiTheme="majorHAnsi"/>
          <w:sz w:val="24"/>
          <w:szCs w:val="24"/>
        </w:rPr>
      </w:pPr>
    </w:p>
    <w:p w:rsidR="006C7DCC" w:rsidRDefault="006C7DCC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sectPr w:rsidR="006C7DCC" w:rsidSect="00826FC6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850" w:bottom="709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3C" w:rsidRDefault="000C383C" w:rsidP="00F0757B">
      <w:pPr>
        <w:spacing w:after="0" w:line="240" w:lineRule="auto"/>
      </w:pPr>
      <w:r>
        <w:separator/>
      </w:r>
    </w:p>
  </w:endnote>
  <w:endnote w:type="continuationSeparator" w:id="0">
    <w:p w:rsidR="000C383C" w:rsidRDefault="000C383C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3C" w:rsidRDefault="000C383C" w:rsidP="00F0757B">
      <w:pPr>
        <w:spacing w:after="0" w:line="240" w:lineRule="auto"/>
      </w:pPr>
      <w:r>
        <w:separator/>
      </w:r>
    </w:p>
  </w:footnote>
  <w:footnote w:type="continuationSeparator" w:id="0">
    <w:p w:rsidR="000C383C" w:rsidRDefault="000C383C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3D4C8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3D4C8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3D4C8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12A0D8B"/>
    <w:multiLevelType w:val="hybridMultilevel"/>
    <w:tmpl w:val="9440C81E"/>
    <w:lvl w:ilvl="0" w:tplc="B19C613A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opp5NdD0cJc/SDC0j3Njb2XO8g=" w:salt="jrid7xyl8xq0o9hSiwn39w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1FD1"/>
    <w:rsid w:val="00071658"/>
    <w:rsid w:val="000C383C"/>
    <w:rsid w:val="0010508C"/>
    <w:rsid w:val="001103FF"/>
    <w:rsid w:val="001E1ACF"/>
    <w:rsid w:val="001E4FE2"/>
    <w:rsid w:val="002A6B82"/>
    <w:rsid w:val="003262E3"/>
    <w:rsid w:val="00333537"/>
    <w:rsid w:val="003408DF"/>
    <w:rsid w:val="003728E6"/>
    <w:rsid w:val="003C0F28"/>
    <w:rsid w:val="003C23D2"/>
    <w:rsid w:val="003D4C82"/>
    <w:rsid w:val="0040526D"/>
    <w:rsid w:val="00430827"/>
    <w:rsid w:val="00524E4A"/>
    <w:rsid w:val="00546C78"/>
    <w:rsid w:val="0063053D"/>
    <w:rsid w:val="00635983"/>
    <w:rsid w:val="006B2D38"/>
    <w:rsid w:val="006C7DCC"/>
    <w:rsid w:val="00703CD6"/>
    <w:rsid w:val="00722E96"/>
    <w:rsid w:val="00810820"/>
    <w:rsid w:val="008139C7"/>
    <w:rsid w:val="0082024C"/>
    <w:rsid w:val="00826FC6"/>
    <w:rsid w:val="008A5E29"/>
    <w:rsid w:val="008B26FB"/>
    <w:rsid w:val="008C37AD"/>
    <w:rsid w:val="008F0449"/>
    <w:rsid w:val="00913612"/>
    <w:rsid w:val="009F4A2A"/>
    <w:rsid w:val="009F5F2B"/>
    <w:rsid w:val="00A9038D"/>
    <w:rsid w:val="00B204EB"/>
    <w:rsid w:val="00BD06ED"/>
    <w:rsid w:val="00BF04E5"/>
    <w:rsid w:val="00BF55EF"/>
    <w:rsid w:val="00C529D8"/>
    <w:rsid w:val="00C8738C"/>
    <w:rsid w:val="00CF519A"/>
    <w:rsid w:val="00D52F44"/>
    <w:rsid w:val="00DB5B70"/>
    <w:rsid w:val="00DE0CA3"/>
    <w:rsid w:val="00DF3AFE"/>
    <w:rsid w:val="00ED03D3"/>
    <w:rsid w:val="00F04F5F"/>
    <w:rsid w:val="00F0757B"/>
    <w:rsid w:val="00FB2BCF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paragraph" w:styleId="ac">
    <w:name w:val="caption"/>
    <w:basedOn w:val="a"/>
    <w:next w:val="a"/>
    <w:qFormat/>
    <w:rsid w:val="006C7D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6C7DC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52F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BDC89-842E-4AF4-A2D2-03FB9834A44E}"/>
      </w:docPartPr>
      <w:docPartBody>
        <w:p w:rsidR="00B73DEE" w:rsidRDefault="00EB26AA">
          <w:r w:rsidRPr="006317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B26AA"/>
    <w:rsid w:val="0079608D"/>
    <w:rsid w:val="00B73DEE"/>
    <w:rsid w:val="00E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26A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3D5F-0D59-4592-B23B-4BF62AE7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30</cp:revision>
  <cp:lastPrinted>2018-04-06T08:01:00Z</cp:lastPrinted>
  <dcterms:created xsi:type="dcterms:W3CDTF">2018-04-04T05:54:00Z</dcterms:created>
  <dcterms:modified xsi:type="dcterms:W3CDTF">2019-04-12T06:08:00Z</dcterms:modified>
</cp:coreProperties>
</file>